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161" w:rsidRDefault="00FD6161" w:rsidP="00FD6161">
      <w:pPr>
        <w:spacing w:line="360" w:lineRule="auto"/>
        <w:ind w:right="-1"/>
        <w:jc w:val="both"/>
      </w:pPr>
    </w:p>
    <w:p w:rsidR="00FD6161" w:rsidRDefault="00FD6161" w:rsidP="00FD6161">
      <w:pPr>
        <w:spacing w:line="360" w:lineRule="auto"/>
        <w:ind w:right="-1"/>
        <w:jc w:val="both"/>
      </w:pPr>
    </w:p>
    <w:p w:rsidR="00FD6161" w:rsidRDefault="00FD6161" w:rsidP="00FD6161">
      <w:pPr>
        <w:pBdr>
          <w:top w:val="single" w:sz="4" w:space="1" w:color="auto"/>
          <w:left w:val="single" w:sz="4" w:space="4" w:color="auto"/>
          <w:bottom w:val="single" w:sz="4" w:space="1" w:color="auto"/>
          <w:right w:val="single" w:sz="4" w:space="4" w:color="auto"/>
        </w:pBdr>
        <w:shd w:val="clear" w:color="auto" w:fill="C6D9F1" w:themeFill="text2" w:themeFillTint="33"/>
        <w:spacing w:line="360" w:lineRule="auto"/>
        <w:ind w:right="-1"/>
        <w:jc w:val="both"/>
        <w:rPr>
          <w:b/>
        </w:rPr>
      </w:pPr>
    </w:p>
    <w:p w:rsidR="006156EF" w:rsidRDefault="006156EF" w:rsidP="00FD6161">
      <w:pPr>
        <w:pBdr>
          <w:top w:val="single" w:sz="4" w:space="1" w:color="auto"/>
          <w:left w:val="single" w:sz="4" w:space="4" w:color="auto"/>
          <w:bottom w:val="single" w:sz="4" w:space="1" w:color="auto"/>
          <w:right w:val="single" w:sz="4" w:space="4" w:color="auto"/>
        </w:pBdr>
        <w:shd w:val="clear" w:color="auto" w:fill="C6D9F1" w:themeFill="text2" w:themeFillTint="33"/>
        <w:spacing w:line="360" w:lineRule="auto"/>
        <w:ind w:right="-1"/>
        <w:jc w:val="both"/>
        <w:rPr>
          <w:b/>
        </w:rPr>
      </w:pPr>
    </w:p>
    <w:p w:rsidR="00696008" w:rsidRDefault="00FD6161" w:rsidP="00FD6161">
      <w:pPr>
        <w:pBdr>
          <w:top w:val="single" w:sz="4" w:space="1" w:color="auto"/>
          <w:left w:val="single" w:sz="4" w:space="4" w:color="auto"/>
          <w:bottom w:val="single" w:sz="4" w:space="1" w:color="auto"/>
          <w:right w:val="single" w:sz="4" w:space="4" w:color="auto"/>
        </w:pBdr>
        <w:shd w:val="clear" w:color="auto" w:fill="C6D9F1" w:themeFill="text2" w:themeFillTint="33"/>
        <w:spacing w:line="360" w:lineRule="auto"/>
        <w:ind w:right="-1"/>
        <w:jc w:val="both"/>
        <w:rPr>
          <w:b/>
        </w:rPr>
      </w:pPr>
      <w:r w:rsidRPr="00FD6161">
        <w:rPr>
          <w:b/>
        </w:rPr>
        <w:t>GLOSARIO DE TÉRMINOS</w:t>
      </w:r>
      <w:r>
        <w:t xml:space="preserve"> RELACIONADOS CON EL PROCEDIMIENTO ESTABLECIDO EN EL REAL DECRETO 1224/2009, DE 17 DE JULIO, DE </w:t>
      </w:r>
      <w:r w:rsidRPr="00FD6161">
        <w:rPr>
          <w:b/>
        </w:rPr>
        <w:t>RECONOCIMIENTO DE LAS COMPETENCIAS PROFESIONALES ADQUIRIDAS POR EXPERIENCIA LABORAL</w:t>
      </w:r>
      <w:r>
        <w:rPr>
          <w:b/>
        </w:rPr>
        <w:t>.</w:t>
      </w:r>
    </w:p>
    <w:p w:rsidR="00FD6161" w:rsidRDefault="00FD6161" w:rsidP="00FD6161">
      <w:pPr>
        <w:pBdr>
          <w:top w:val="single" w:sz="4" w:space="1" w:color="auto"/>
          <w:left w:val="single" w:sz="4" w:space="4" w:color="auto"/>
          <w:bottom w:val="single" w:sz="4" w:space="1" w:color="auto"/>
          <w:right w:val="single" w:sz="4" w:space="4" w:color="auto"/>
        </w:pBdr>
        <w:shd w:val="clear" w:color="auto" w:fill="C6D9F1" w:themeFill="text2" w:themeFillTint="33"/>
        <w:spacing w:line="360" w:lineRule="auto"/>
        <w:ind w:right="-1"/>
        <w:jc w:val="both"/>
        <w:rPr>
          <w:b/>
        </w:rPr>
      </w:pPr>
    </w:p>
    <w:p w:rsidR="00FD6161" w:rsidRDefault="00FD6161" w:rsidP="00FD6161">
      <w:pPr>
        <w:pBdr>
          <w:top w:val="single" w:sz="4" w:space="1" w:color="auto"/>
          <w:left w:val="single" w:sz="4" w:space="4" w:color="auto"/>
          <w:bottom w:val="single" w:sz="4" w:space="1" w:color="auto"/>
          <w:right w:val="single" w:sz="4" w:space="4" w:color="auto"/>
        </w:pBdr>
        <w:shd w:val="clear" w:color="auto" w:fill="C6D9F1" w:themeFill="text2" w:themeFillTint="33"/>
        <w:spacing w:line="360" w:lineRule="auto"/>
        <w:ind w:right="-1"/>
        <w:jc w:val="both"/>
      </w:pPr>
    </w:p>
    <w:p w:rsidR="00696008" w:rsidRDefault="00696008" w:rsidP="00DB6B3E">
      <w:pPr>
        <w:ind w:left="426" w:right="-1"/>
        <w:jc w:val="both"/>
      </w:pPr>
    </w:p>
    <w:p w:rsidR="00FD6161" w:rsidRDefault="00FD6161" w:rsidP="00DB6B3E">
      <w:pPr>
        <w:ind w:left="426" w:right="-1"/>
        <w:jc w:val="both"/>
      </w:pPr>
    </w:p>
    <w:p w:rsidR="00FD6161" w:rsidRDefault="00FD6161" w:rsidP="00DB6B3E">
      <w:pPr>
        <w:ind w:left="426" w:right="-1"/>
        <w:jc w:val="both"/>
      </w:pPr>
    </w:p>
    <w:p w:rsidR="00696008" w:rsidRDefault="00696008" w:rsidP="00DB6B3E">
      <w:pPr>
        <w:ind w:right="993"/>
        <w:rPr>
          <w:sz w:val="14"/>
          <w:szCs w:val="24"/>
        </w:rPr>
      </w:pPr>
    </w:p>
    <w:p w:rsidR="00696008" w:rsidRDefault="004250DA" w:rsidP="004250DA">
      <w:pPr>
        <w:ind w:right="993"/>
        <w:jc w:val="both"/>
        <w:rPr>
          <w:sz w:val="14"/>
          <w:szCs w:val="24"/>
        </w:rPr>
      </w:pPr>
      <w:r w:rsidRPr="004250DA">
        <w:rPr>
          <w:noProof/>
          <w:sz w:val="14"/>
          <w:szCs w:val="24"/>
          <w:lang w:eastAsia="es-ES"/>
        </w:rPr>
        <w:drawing>
          <wp:inline distT="0" distB="0" distL="0" distR="0" wp14:anchorId="17CFD537" wp14:editId="1B335023">
            <wp:extent cx="4557600" cy="3839748"/>
            <wp:effectExtent l="419100" t="381000" r="586105" b="389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8" cstate="print"/>
                    <a:srcRect/>
                    <a:stretch>
                      <a:fillRect/>
                    </a:stretch>
                  </pic:blipFill>
                  <pic:spPr bwMode="auto">
                    <a:xfrm>
                      <a:off x="0" y="0"/>
                      <a:ext cx="4575707" cy="3855003"/>
                    </a:xfrm>
                    <a:prstGeom prst="rect">
                      <a:avLst/>
                    </a:prstGeom>
                    <a:solidFill>
                      <a:srgbClr val="FFFFFF">
                        <a:shade val="85000"/>
                      </a:srgbClr>
                    </a:solidFill>
                    <a:ln w="190500" cap="sq">
                      <a:solidFill>
                        <a:srgbClr val="FFFFFF"/>
                      </a:solidFill>
                      <a:miter lim="800000"/>
                    </a:ln>
                    <a:effectLst>
                      <a:outerShdw blurRad="65000" dist="50800" dir="12900000" kx="195000" ky="145000" algn="tl" rotWithShape="0">
                        <a:srgbClr val="000000">
                          <a:alpha val="30000"/>
                        </a:srgbClr>
                      </a:outerShdw>
                    </a:effectLst>
                    <a:scene3d>
                      <a:camera prst="orthographicFront">
                        <a:rot lat="0" lon="0" rev="360000"/>
                      </a:camera>
                      <a:lightRig rig="twoPt" dir="t">
                        <a:rot lat="0" lon="0" rev="7200000"/>
                      </a:lightRig>
                    </a:scene3d>
                    <a:sp3d contourW="12700">
                      <a:bevelT w="25400" h="19050"/>
                      <a:contourClr>
                        <a:srgbClr val="969696"/>
                      </a:contourClr>
                    </a:sp3d>
                  </pic:spPr>
                </pic:pic>
              </a:graphicData>
            </a:graphic>
          </wp:inline>
        </w:drawing>
      </w:r>
    </w:p>
    <w:p w:rsidR="00696008" w:rsidRDefault="00696008" w:rsidP="00DB6B3E">
      <w:pPr>
        <w:ind w:right="993"/>
        <w:rPr>
          <w:sz w:val="14"/>
          <w:szCs w:val="24"/>
        </w:rPr>
      </w:pPr>
    </w:p>
    <w:p w:rsidR="00FD6161" w:rsidRDefault="00FD6161" w:rsidP="00DB6B3E">
      <w:pPr>
        <w:ind w:right="993"/>
        <w:rPr>
          <w:sz w:val="14"/>
          <w:szCs w:val="24"/>
        </w:rPr>
      </w:pPr>
    </w:p>
    <w:p w:rsidR="00FD6161" w:rsidRDefault="00FD6161" w:rsidP="00DB6B3E">
      <w:pPr>
        <w:ind w:right="993"/>
        <w:rPr>
          <w:sz w:val="14"/>
          <w:szCs w:val="24"/>
        </w:rPr>
      </w:pPr>
    </w:p>
    <w:p w:rsidR="00FD6161" w:rsidRDefault="00FD6161" w:rsidP="00DB6B3E">
      <w:pPr>
        <w:ind w:right="993"/>
        <w:rPr>
          <w:sz w:val="14"/>
          <w:szCs w:val="24"/>
        </w:rPr>
      </w:pPr>
    </w:p>
    <w:p w:rsidR="00FD6161" w:rsidRDefault="00FD6161" w:rsidP="00DB6B3E">
      <w:pPr>
        <w:ind w:right="993"/>
        <w:rPr>
          <w:sz w:val="14"/>
          <w:szCs w:val="24"/>
        </w:rPr>
      </w:pPr>
    </w:p>
    <w:p w:rsidR="00FD6161" w:rsidRDefault="00FD6161" w:rsidP="00DB6B3E">
      <w:pPr>
        <w:ind w:right="993"/>
        <w:rPr>
          <w:sz w:val="14"/>
          <w:szCs w:val="24"/>
        </w:rPr>
      </w:pPr>
    </w:p>
    <w:p w:rsidR="00FD6161" w:rsidRDefault="00FD6161" w:rsidP="00DB6B3E">
      <w:pPr>
        <w:ind w:right="993"/>
        <w:rPr>
          <w:sz w:val="14"/>
          <w:szCs w:val="24"/>
        </w:rPr>
      </w:pPr>
    </w:p>
    <w:p w:rsidR="00FD6161" w:rsidRDefault="00FD6161" w:rsidP="00DB6B3E">
      <w:pPr>
        <w:ind w:right="993"/>
        <w:rPr>
          <w:sz w:val="14"/>
          <w:szCs w:val="24"/>
        </w:rPr>
      </w:pPr>
      <w:bookmarkStart w:id="0" w:name="_GoBack"/>
      <w:bookmarkEnd w:id="0"/>
    </w:p>
    <w:p w:rsidR="00FD6161" w:rsidRDefault="00FD6161" w:rsidP="00DB6B3E">
      <w:pPr>
        <w:ind w:right="993"/>
        <w:rPr>
          <w:sz w:val="14"/>
          <w:szCs w:val="24"/>
        </w:rPr>
      </w:pPr>
    </w:p>
    <w:p w:rsidR="00FD6161" w:rsidRDefault="00FD6161" w:rsidP="00DB6B3E">
      <w:pPr>
        <w:ind w:right="993"/>
        <w:rPr>
          <w:sz w:val="14"/>
          <w:szCs w:val="24"/>
        </w:rPr>
      </w:pPr>
    </w:p>
    <w:p w:rsidR="001D5CBB" w:rsidRPr="00CD0DFD" w:rsidRDefault="001D5CBB" w:rsidP="004250DA">
      <w:pPr>
        <w:ind w:right="993"/>
        <w:rPr>
          <w:sz w:val="1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BD4B4"/>
        <w:tblLook w:val="04A0" w:firstRow="1" w:lastRow="0" w:firstColumn="1" w:lastColumn="0" w:noHBand="0" w:noVBand="1"/>
      </w:tblPr>
      <w:tblGrid>
        <w:gridCol w:w="8186"/>
      </w:tblGrid>
      <w:tr w:rsidR="00AE501A" w:rsidRPr="00CD0DFD" w:rsidTr="00DB6B3E">
        <w:tc>
          <w:tcPr>
            <w:tcW w:w="10773" w:type="dxa"/>
            <w:shd w:val="clear" w:color="auto" w:fill="8DB3E2"/>
          </w:tcPr>
          <w:p w:rsidR="001D5CBB" w:rsidRPr="00DB6B3E" w:rsidRDefault="001D5CBB" w:rsidP="00DB6B3E">
            <w:pPr>
              <w:ind w:right="993"/>
              <w:rPr>
                <w:rFonts w:eastAsia="Times New Roman"/>
                <w:szCs w:val="16"/>
              </w:rPr>
            </w:pPr>
          </w:p>
          <w:p w:rsidR="001D5CBB" w:rsidRPr="00DB6B3E" w:rsidRDefault="001D5CBB" w:rsidP="00DB6B3E">
            <w:pPr>
              <w:ind w:right="993"/>
              <w:jc w:val="center"/>
              <w:rPr>
                <w:rFonts w:eastAsia="Times New Roman"/>
                <w:b/>
                <w:sz w:val="36"/>
                <w:szCs w:val="24"/>
              </w:rPr>
            </w:pPr>
            <w:r w:rsidRPr="00DB6B3E">
              <w:rPr>
                <w:rFonts w:eastAsia="Times New Roman"/>
                <w:b/>
                <w:sz w:val="36"/>
                <w:szCs w:val="24"/>
              </w:rPr>
              <w:t>Glosario de términos</w:t>
            </w:r>
          </w:p>
          <w:p w:rsidR="001D5CBB" w:rsidRPr="00DB6B3E" w:rsidRDefault="001D5CBB" w:rsidP="00DB6B3E">
            <w:pPr>
              <w:ind w:right="993"/>
              <w:jc w:val="center"/>
              <w:rPr>
                <w:rFonts w:eastAsia="Times New Roman"/>
                <w:b/>
                <w:szCs w:val="16"/>
              </w:rPr>
            </w:pPr>
          </w:p>
        </w:tc>
      </w:tr>
    </w:tbl>
    <w:p w:rsidR="001D5CBB" w:rsidRDefault="001D5CBB"/>
    <w:p w:rsidR="00AE501A" w:rsidRDefault="00AE501A" w:rsidP="00AE501A">
      <w:pPr>
        <w:shd w:val="clear" w:color="auto" w:fill="FFFFFF"/>
        <w:spacing w:after="150"/>
        <w:ind w:firstLine="709"/>
        <w:jc w:val="both"/>
        <w:rPr>
          <w:rFonts w:eastAsia="Times New Roman" w:cs="Calibri"/>
          <w:b/>
          <w:bCs/>
          <w:lang w:eastAsia="es-ES"/>
        </w:rPr>
      </w:pP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Asesor</w:t>
      </w:r>
      <w:r w:rsidR="00E86AE0">
        <w:rPr>
          <w:rFonts w:eastAsia="Times New Roman" w:cs="Calibri"/>
          <w:b/>
          <w:bCs/>
          <w:lang w:eastAsia="es-ES"/>
        </w:rPr>
        <w:t>/a</w:t>
      </w:r>
      <w:r w:rsidRPr="00DB6B3E">
        <w:rPr>
          <w:rFonts w:eastAsia="Times New Roman" w:cs="Calibri"/>
          <w:b/>
          <w:bCs/>
          <w:lang w:eastAsia="es-ES"/>
        </w:rPr>
        <w:t xml:space="preserve">: </w:t>
      </w:r>
      <w:r w:rsidRPr="00DB6B3E">
        <w:rPr>
          <w:rFonts w:eastAsia="Times New Roman" w:cs="Calibri"/>
          <w:lang w:eastAsia="es-ES"/>
        </w:rPr>
        <w:t>Profesional que interviene en la fase de asesoramiento y que en todo momento ayuda a la persona candidata a incrementar las posibilidades de superar con éxito la fase de evaluación.</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Acreditación de competencia profesional: </w:t>
      </w:r>
      <w:r w:rsidRPr="00AE501A">
        <w:rPr>
          <w:rFonts w:eastAsia="Times New Roman" w:cs="Calibri"/>
          <w:bCs/>
          <w:lang w:eastAsia="es-ES"/>
        </w:rPr>
        <w:t>Proceso por el cual se otorga un</w:t>
      </w:r>
      <w:r w:rsidRPr="00DB6B3E">
        <w:rPr>
          <w:rFonts w:eastAsia="Times New Roman" w:cs="Calibri"/>
          <w:lang w:eastAsia="es-ES"/>
        </w:rPr>
        <w:t xml:space="preserve"> reconocimiento de competencias a </w:t>
      </w:r>
      <w:r w:rsidR="00BC38D3">
        <w:rPr>
          <w:rFonts w:eastAsia="Times New Roman" w:cs="Calibri"/>
          <w:lang w:eastAsia="es-ES"/>
        </w:rPr>
        <w:t>la persona candidata mediante una acreditación oficial.</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Acreditación parcial acumulable: </w:t>
      </w:r>
      <w:r w:rsidR="00BC38D3">
        <w:t>Acreditación oficial mínima correspondiente a una Unidad de Competencia, expedida por las administraciones educativas y/o laborales, que obtienen las personas candidatas que superan el proceso de reconocimiento y acreditación.</w:t>
      </w:r>
    </w:p>
    <w:p w:rsidR="00AE501A" w:rsidRDefault="00FA479B" w:rsidP="00696008">
      <w:pPr>
        <w:numPr>
          <w:ilvl w:val="0"/>
          <w:numId w:val="3"/>
        </w:numPr>
        <w:shd w:val="clear" w:color="auto" w:fill="FFFFFF"/>
        <w:spacing w:after="150"/>
        <w:jc w:val="both"/>
        <w:rPr>
          <w:rFonts w:eastAsia="Times New Roman" w:cs="Calibri"/>
          <w:lang w:eastAsia="es-ES"/>
        </w:rPr>
      </w:pPr>
      <w:r>
        <w:rPr>
          <w:rFonts w:eastAsia="Times New Roman" w:cs="Calibri"/>
          <w:b/>
          <w:bCs/>
          <w:lang w:eastAsia="es-ES"/>
        </w:rPr>
        <w:t>Aprendizaje</w:t>
      </w:r>
      <w:r w:rsidR="001D5CBB" w:rsidRPr="00DB6B3E">
        <w:rPr>
          <w:rFonts w:eastAsia="Times New Roman" w:cs="Calibri"/>
          <w:b/>
          <w:bCs/>
          <w:lang w:eastAsia="es-ES"/>
        </w:rPr>
        <w:t xml:space="preserve"> formal: </w:t>
      </w:r>
      <w:r w:rsidR="001D5CBB" w:rsidRPr="00DB6B3E">
        <w:rPr>
          <w:rFonts w:eastAsia="Times New Roman" w:cs="Calibri"/>
          <w:lang w:eastAsia="es-ES"/>
        </w:rPr>
        <w:t>Proceso por el que se adquieren competencias de manera intencional, en un contexto de enseñanza organizado y estructurado, cuyo contenido está explícitamente diseñado en un programa formativo y que desemboca generalmente en un acreditación oficial con va</w:t>
      </w:r>
      <w:r w:rsidR="00AE501A">
        <w:rPr>
          <w:rFonts w:eastAsia="Times New Roman" w:cs="Calibri"/>
          <w:lang w:eastAsia="es-ES"/>
        </w:rPr>
        <w:t>lor académico y/o profesional.</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Aprendizaje no formal: </w:t>
      </w:r>
      <w:r w:rsidRPr="00DB6B3E">
        <w:rPr>
          <w:rFonts w:eastAsia="Times New Roman" w:cs="Calibri"/>
          <w:lang w:eastAsia="es-ES"/>
        </w:rPr>
        <w:t>Proceso por el que se adquieren competencias de manera intencional por los individuos, en actividades planificadas pero que no dan lugar habitualmente a una acreditación oficial con valor académico y/o profesional y que por tanto precisan de un proceso de evaluación para su reconocimiento.</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Candidato</w:t>
      </w:r>
      <w:r w:rsidR="00E86AE0">
        <w:rPr>
          <w:rFonts w:eastAsia="Times New Roman" w:cs="Calibri"/>
          <w:b/>
          <w:bCs/>
          <w:lang w:eastAsia="es-ES"/>
        </w:rPr>
        <w:t>/a</w:t>
      </w:r>
      <w:r w:rsidRPr="00DB6B3E">
        <w:rPr>
          <w:rFonts w:eastAsia="Times New Roman" w:cs="Calibri"/>
          <w:b/>
          <w:bCs/>
          <w:lang w:eastAsia="es-ES"/>
        </w:rPr>
        <w:t xml:space="preserve">: </w:t>
      </w:r>
      <w:r w:rsidRPr="00DB6B3E">
        <w:rPr>
          <w:rFonts w:eastAsia="Times New Roman" w:cs="Calibri"/>
          <w:lang w:eastAsia="es-ES"/>
        </w:rPr>
        <w:t>Persona que solicita ser evaluada en el Procedimiento</w:t>
      </w:r>
      <w:r w:rsidR="00DB6B3E" w:rsidRPr="00DB6B3E">
        <w:rPr>
          <w:rFonts w:eastAsia="Times New Roman" w:cs="Calibri"/>
          <w:lang w:eastAsia="es-ES"/>
        </w:rPr>
        <w:t xml:space="preserve"> </w:t>
      </w:r>
      <w:r w:rsidRPr="00DB6B3E">
        <w:rPr>
          <w:rFonts w:eastAsia="Times New Roman" w:cs="Calibri"/>
          <w:lang w:eastAsia="es-ES"/>
        </w:rPr>
        <w:t>de su competencia profesional, y posee los requisitos para participar en el mismo.</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Catálogo Modular de Formación Profesional: </w:t>
      </w:r>
      <w:r w:rsidRPr="00DB6B3E">
        <w:rPr>
          <w:rFonts w:eastAsia="Times New Roman" w:cs="Calibri"/>
          <w:lang w:eastAsia="es-ES"/>
        </w:rPr>
        <w:t>Conjunto de Módulos formativos asociados a las diferentes unidades de competencia de las cualificaciones profesionales. Proporciona un referente común para la integración de las ofertas de formación profesional que permita la capitalización y el fomento del aprendizaje a lo largo de la vida.</w:t>
      </w:r>
    </w:p>
    <w:p w:rsidR="00696008"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Catálogo Nacional de las Cualificaciones Profesionales: </w:t>
      </w:r>
      <w:r w:rsidRPr="00DB6B3E">
        <w:rPr>
          <w:rFonts w:eastAsia="Times New Roman" w:cs="Calibri"/>
          <w:lang w:eastAsia="es-ES"/>
        </w:rPr>
        <w:t xml:space="preserve">Es el instrumento del Sistema Nacional de las Cualificaciones y Formación Profesional que ordena las cualificaciones profesionales, susceptibles del reconocimiento y acreditación, identificadas en el sistema productivo en función de las competencias apropiadas </w:t>
      </w:r>
      <w:r w:rsidR="00696008">
        <w:rPr>
          <w:rFonts w:eastAsia="Times New Roman" w:cs="Calibri"/>
          <w:lang w:eastAsia="es-ES"/>
        </w:rPr>
        <w:t>para el ejercicio profesional.</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Certificado de Profesionalidad: </w:t>
      </w:r>
      <w:r w:rsidRPr="00696008">
        <w:rPr>
          <w:rFonts w:eastAsia="Times New Roman" w:cs="Calibri"/>
          <w:bCs/>
          <w:lang w:eastAsia="es-ES"/>
        </w:rPr>
        <w:t>Acreditación oficial, otorgada por la administración</w:t>
      </w:r>
      <w:r w:rsidRPr="00DB6B3E">
        <w:rPr>
          <w:rFonts w:eastAsia="Times New Roman" w:cs="Calibri"/>
          <w:lang w:eastAsia="es-ES"/>
        </w:rPr>
        <w:t xml:space="preserve"> laboral competente, que acredita la capacitación para el desarrollo de una actividad laboral con significación para el empleo.</w:t>
      </w:r>
    </w:p>
    <w:p w:rsidR="00696008"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Competencia general: </w:t>
      </w:r>
      <w:r w:rsidRPr="00DB6B3E">
        <w:rPr>
          <w:rFonts w:eastAsia="Times New Roman" w:cs="Calibri"/>
          <w:lang w:eastAsia="es-ES"/>
        </w:rPr>
        <w:t>Describe de forma abreviada el cometido y funcion</w:t>
      </w:r>
      <w:r w:rsidR="00696008">
        <w:rPr>
          <w:rFonts w:eastAsia="Times New Roman" w:cs="Calibri"/>
          <w:lang w:eastAsia="es-ES"/>
        </w:rPr>
        <w:t>es esenciales del profesional.</w:t>
      </w:r>
    </w:p>
    <w:p w:rsidR="00696008"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lastRenderedPageBreak/>
        <w:t xml:space="preserve">Competencia profesional: </w:t>
      </w:r>
      <w:r w:rsidRPr="00DB6B3E">
        <w:rPr>
          <w:rFonts w:eastAsia="Times New Roman" w:cs="Calibri"/>
          <w:lang w:eastAsia="es-ES"/>
        </w:rPr>
        <w:t>El conjunto de conocimientos y capacidades que permiten el ejercicio de la actividad profesional conforme a las exigencias</w:t>
      </w:r>
      <w:r w:rsidR="00696008">
        <w:rPr>
          <w:rFonts w:eastAsia="Times New Roman" w:cs="Calibri"/>
          <w:lang w:eastAsia="es-ES"/>
        </w:rPr>
        <w:t xml:space="preserve"> de la producción y el empleo.</w:t>
      </w:r>
    </w:p>
    <w:p w:rsidR="00696008"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Contexto profesional: </w:t>
      </w:r>
      <w:r w:rsidRPr="00DB6B3E">
        <w:rPr>
          <w:rFonts w:eastAsia="Times New Roman" w:cs="Calibri"/>
          <w:lang w:eastAsia="es-ES"/>
        </w:rPr>
        <w:t>Describe, con carácter orientador, los medios de producción, productos y resultados del trabajo, información utilizada o generada y cuantos elementos de análoga naturaleza se consideren necesarios para enmarc</w:t>
      </w:r>
      <w:r w:rsidR="00696008">
        <w:rPr>
          <w:rFonts w:eastAsia="Times New Roman" w:cs="Calibri"/>
          <w:lang w:eastAsia="es-ES"/>
        </w:rPr>
        <w:t>ar la realización profesional.</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Criterios de realización: </w:t>
      </w:r>
      <w:r w:rsidRPr="00DB6B3E">
        <w:rPr>
          <w:rFonts w:eastAsia="Times New Roman" w:cs="Calibri"/>
          <w:lang w:eastAsia="es-ES"/>
        </w:rPr>
        <w:t>Expresan el nivel aceptable de la realización profesional que satisface los objetivos de las organizaciones productivas y constituye una guía para la evaluación de la competencia profesional.</w:t>
      </w:r>
    </w:p>
    <w:p w:rsidR="00BC38D3" w:rsidRPr="00BC38D3" w:rsidRDefault="00BC38D3" w:rsidP="00BC38D3">
      <w:pPr>
        <w:numPr>
          <w:ilvl w:val="0"/>
          <w:numId w:val="3"/>
        </w:numPr>
        <w:shd w:val="clear" w:color="auto" w:fill="FFFFFF"/>
        <w:spacing w:after="150"/>
        <w:jc w:val="both"/>
        <w:rPr>
          <w:rFonts w:eastAsia="Times New Roman" w:cs="Calibri"/>
          <w:lang w:eastAsia="es-ES"/>
        </w:rPr>
      </w:pPr>
      <w:r w:rsidRPr="00BC38D3">
        <w:rPr>
          <w:rFonts w:eastAsia="Times New Roman" w:cs="Calibri"/>
          <w:b/>
          <w:bCs/>
          <w:lang w:eastAsia="es-ES"/>
        </w:rPr>
        <w:t>Comisión de Evaluación</w:t>
      </w:r>
      <w:r>
        <w:rPr>
          <w:rFonts w:eastAsia="Times New Roman" w:cs="Calibri"/>
          <w:lang w:eastAsia="es-ES"/>
        </w:rPr>
        <w:t xml:space="preserve">: </w:t>
      </w:r>
      <w:r w:rsidRPr="00BC38D3">
        <w:rPr>
          <w:rFonts w:eastAsia="Times New Roman" w:cs="Calibri"/>
          <w:lang w:eastAsia="es-ES"/>
        </w:rPr>
        <w:t>Órgano formado por un conjunto de evaluadores que decide colegiadamente acerca de las</w:t>
      </w:r>
      <w:r>
        <w:rPr>
          <w:rFonts w:eastAsia="Times New Roman" w:cs="Calibri"/>
          <w:lang w:eastAsia="es-ES"/>
        </w:rPr>
        <w:t xml:space="preserve"> </w:t>
      </w:r>
      <w:r w:rsidRPr="00BC38D3">
        <w:rPr>
          <w:rFonts w:eastAsia="Times New Roman" w:cs="Calibri"/>
          <w:lang w:eastAsia="es-ES"/>
        </w:rPr>
        <w:t>competencias profesionales demostradas por la persona candidata.</w:t>
      </w:r>
    </w:p>
    <w:p w:rsidR="00AE501A"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Cualificación Profesional: </w:t>
      </w:r>
      <w:r w:rsidRPr="00DB6B3E">
        <w:rPr>
          <w:rFonts w:eastAsia="Times New Roman" w:cs="Calibri"/>
          <w:lang w:eastAsia="es-ES"/>
        </w:rPr>
        <w:t>El conjunto de competencias profesionales con significación para el empleo que pueden ser adquiridas mediante formación modular u otros tipos de formación, así como a través de la experiencia laboral.</w:t>
      </w:r>
    </w:p>
    <w:p w:rsidR="00696008" w:rsidRDefault="001D5CBB" w:rsidP="00696008">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Cuestionario de Autoevaluación: </w:t>
      </w:r>
      <w:r w:rsidRPr="00DB6B3E">
        <w:rPr>
          <w:rFonts w:eastAsia="Times New Roman" w:cs="Calibri"/>
          <w:lang w:eastAsia="es-ES"/>
        </w:rPr>
        <w:t>Documento que le servirá a la persona candidata para analizar las competencias profesionales que posee, de acuerdo co</w:t>
      </w:r>
      <w:r w:rsidR="00696008">
        <w:rPr>
          <w:rFonts w:eastAsia="Times New Roman" w:cs="Calibri"/>
          <w:lang w:eastAsia="es-ES"/>
        </w:rPr>
        <w:t>n las indicaciones del asesor.</w:t>
      </w:r>
    </w:p>
    <w:p w:rsidR="00BC38D3" w:rsidRDefault="00BC38D3" w:rsidP="00696008">
      <w:pPr>
        <w:numPr>
          <w:ilvl w:val="0"/>
          <w:numId w:val="3"/>
        </w:numPr>
        <w:shd w:val="clear" w:color="auto" w:fill="FFFFFF"/>
        <w:spacing w:after="150"/>
        <w:jc w:val="both"/>
        <w:rPr>
          <w:rFonts w:eastAsia="Times New Roman" w:cs="Calibri"/>
          <w:lang w:eastAsia="es-ES"/>
        </w:rPr>
      </w:pPr>
      <w:r w:rsidRPr="00BC38D3">
        <w:rPr>
          <w:rFonts w:eastAsia="Times New Roman" w:cs="Calibri"/>
          <w:b/>
          <w:bCs/>
          <w:lang w:eastAsia="es-ES"/>
        </w:rPr>
        <w:t>Dossier de Competencias</w:t>
      </w:r>
      <w:r>
        <w:rPr>
          <w:rFonts w:eastAsia="Times New Roman" w:cs="Calibri"/>
          <w:b/>
          <w:bCs/>
          <w:lang w:eastAsia="es-ES"/>
        </w:rPr>
        <w:t>:</w:t>
      </w:r>
      <w:r>
        <w:t xml:space="preserve"> Conjunto de documentos, formularios y otras pruebas que se organizan en una carpeta en la que se ordenan y clasifican la información profesional y las pruebas aportadas por la persona candidata.</w:t>
      </w:r>
    </w:p>
    <w:p w:rsidR="00696008" w:rsidRDefault="001D5CBB" w:rsidP="00AE501A">
      <w:pPr>
        <w:numPr>
          <w:ilvl w:val="0"/>
          <w:numId w:val="3"/>
        </w:numPr>
        <w:shd w:val="clear" w:color="auto" w:fill="FFFFFF"/>
        <w:spacing w:after="150"/>
        <w:jc w:val="both"/>
        <w:rPr>
          <w:rFonts w:eastAsia="Times New Roman" w:cs="Calibri"/>
          <w:lang w:eastAsia="es-ES"/>
        </w:rPr>
      </w:pPr>
      <w:r w:rsidRPr="00DB6B3E">
        <w:rPr>
          <w:rFonts w:eastAsia="Times New Roman" w:cs="Calibri"/>
          <w:b/>
          <w:bCs/>
          <w:lang w:eastAsia="es-ES"/>
        </w:rPr>
        <w:t xml:space="preserve">Entorno profesional: </w:t>
      </w:r>
      <w:r w:rsidRPr="00DB6B3E">
        <w:rPr>
          <w:rFonts w:eastAsia="Times New Roman" w:cs="Calibri"/>
          <w:lang w:eastAsia="es-ES"/>
        </w:rPr>
        <w:t>Indica, con carácter orientador, el ámbito profesional, los sectores productivos y las ocupaciones o puestos de trabajo relacionados.</w:t>
      </w:r>
    </w:p>
    <w:p w:rsidR="00696008" w:rsidRDefault="001D5CBB" w:rsidP="00AE501A">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 xml:space="preserve">Especificaciones de la formación: </w:t>
      </w:r>
      <w:r w:rsidRPr="00696008">
        <w:rPr>
          <w:rFonts w:eastAsia="Times New Roman" w:cs="Calibri"/>
          <w:lang w:eastAsia="es-ES"/>
        </w:rPr>
        <w:t>Se expresarán a través de las capacidades y sus correspondientes criterios de evaluación, así como los contenidos que permitan alcanzar dichas capacidades. Se identificarán, además, aquellas capacidades cuya adquisición deba ser, en su caso, completada en un entorno real de trabajo. Constarán también los requisitos básicos del contexto de la formación, para que ésta sea de calidad.</w:t>
      </w:r>
    </w:p>
    <w:p w:rsidR="00BC38D3" w:rsidRDefault="00BC38D3" w:rsidP="00AE501A">
      <w:pPr>
        <w:numPr>
          <w:ilvl w:val="0"/>
          <w:numId w:val="3"/>
        </w:numPr>
        <w:shd w:val="clear" w:color="auto" w:fill="FFFFFF"/>
        <w:spacing w:after="150"/>
        <w:jc w:val="both"/>
        <w:rPr>
          <w:rFonts w:eastAsia="Times New Roman" w:cs="Calibri"/>
          <w:lang w:eastAsia="es-ES"/>
        </w:rPr>
      </w:pPr>
      <w:r w:rsidRPr="00BC38D3">
        <w:rPr>
          <w:b/>
        </w:rPr>
        <w:t>Entrevista profesional</w:t>
      </w:r>
      <w:r>
        <w:t>: Método de recogida de información de evidencias de competencia directas e indirectas consistente en una conversación de carácter profesional entre el candidato y asesores o evaluadores.</w:t>
      </w:r>
    </w:p>
    <w:p w:rsidR="00696008" w:rsidRDefault="001D5CBB" w:rsidP="00AE501A">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Evaluador</w:t>
      </w:r>
      <w:r w:rsidR="00FA479B">
        <w:rPr>
          <w:rFonts w:eastAsia="Times New Roman" w:cs="Calibri"/>
          <w:b/>
          <w:bCs/>
          <w:lang w:eastAsia="es-ES"/>
        </w:rPr>
        <w:t>/a</w:t>
      </w:r>
      <w:r w:rsidRPr="00696008">
        <w:rPr>
          <w:rFonts w:eastAsia="Times New Roman" w:cs="Calibri"/>
          <w:b/>
          <w:bCs/>
          <w:lang w:eastAsia="es-ES"/>
        </w:rPr>
        <w:t xml:space="preserve">: </w:t>
      </w:r>
      <w:r w:rsidRPr="00696008">
        <w:rPr>
          <w:rFonts w:eastAsia="Times New Roman" w:cs="Calibri"/>
          <w:lang w:eastAsia="es-ES"/>
        </w:rPr>
        <w:t>Profesional que interviene en el seno de una Comisión de Evaluación y verifica si la persona candidata demuestra las competencias profesionales contenidas en las Unidades de Competencias cuya acreditación solicita.</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t>Evidencia de competencia profesional</w:t>
      </w:r>
      <w:r>
        <w:rPr>
          <w:b/>
        </w:rPr>
        <w:t>:</w:t>
      </w:r>
      <w:r>
        <w:t xml:space="preserve"> Información obtenida de la persona candidata que, contrastada con la Unidad de Competencia, muestra que ésta posee, total o parcialmente, las competencias profesionales requeridas. Estas evidencias pueden ser directas o indirectas. </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t>Evidencia de competencia profesional directa</w:t>
      </w:r>
      <w:r>
        <w:t xml:space="preserve">: Información obtenida por la persona candidata durante la realización de las actividades de evaluación requeridas mediante distintos métodos. </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lastRenderedPageBreak/>
        <w:t>Evidencia de competencia profesional indirecta</w:t>
      </w:r>
      <w:r>
        <w:rPr>
          <w:b/>
        </w:rPr>
        <w:t>:</w:t>
      </w:r>
      <w:r>
        <w:t xml:space="preserve"> Información obtenida de la persona candidata producto de logros anteriores, derivados de los aprendizajes realizados a lo largo de su trayectoria profesional y formativa. </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t>Experiencia laboral</w:t>
      </w:r>
      <w:r>
        <w:rPr>
          <w:b/>
        </w:rPr>
        <w:t>:</w:t>
      </w:r>
      <w:r>
        <w:t xml:space="preserve"> Práctica prolongada que proporciona conocimientos y habilidades relacionados con la Unidad de Competencia y que a lo largo del Procedimiento es objeto de contraste y evaluación.</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t>Fase de asesoramiento</w:t>
      </w:r>
      <w:r>
        <w:rPr>
          <w:b/>
        </w:rPr>
        <w:t>:</w:t>
      </w:r>
      <w:r>
        <w:t xml:space="preserve"> Primera fase del Procedimiento en la que el asesor/a, prepara, acompaña y tutela a la persona candidata para su acceso a la evaluación. </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t>Historial Profesional y Formativo</w:t>
      </w:r>
      <w:r>
        <w:rPr>
          <w:b/>
        </w:rPr>
        <w:t>:</w:t>
      </w:r>
      <w:r>
        <w:t xml:space="preserve"> Documento en el que se resume la trayectoria laboral y formativa de la persona candidata. Su contenido debe estar suficientemente justificado y tener relación con las referencias de competencia que disponen los profesionales que te ayudan en el Procedimiento.</w:t>
      </w:r>
    </w:p>
    <w:p w:rsidR="00BC38D3" w:rsidRPr="00BC38D3" w:rsidRDefault="00BC38D3" w:rsidP="00AE501A">
      <w:pPr>
        <w:numPr>
          <w:ilvl w:val="0"/>
          <w:numId w:val="3"/>
        </w:numPr>
        <w:shd w:val="clear" w:color="auto" w:fill="FFFFFF"/>
        <w:spacing w:after="150"/>
        <w:jc w:val="both"/>
        <w:rPr>
          <w:rFonts w:eastAsia="Times New Roman" w:cs="Calibri"/>
          <w:lang w:eastAsia="es-ES"/>
        </w:rPr>
      </w:pPr>
      <w:r w:rsidRPr="00BC38D3">
        <w:rPr>
          <w:b/>
        </w:rPr>
        <w:t>Informe de asesoramiento</w:t>
      </w:r>
      <w:r>
        <w:rPr>
          <w:b/>
        </w:rPr>
        <w:t>:</w:t>
      </w:r>
      <w:r>
        <w:t xml:space="preserve"> Documento que elabora el asesor/a acerca de las competencias que, según su criterio, la persona candidata tiene suficientemente justificadas y, a partir del cual, le aconseja sobre la conveniencia de pasar o no a la fase de evaluación. </w:t>
      </w:r>
    </w:p>
    <w:p w:rsidR="00F41ABB" w:rsidRPr="00F41ABB" w:rsidRDefault="00BC38D3" w:rsidP="00AE501A">
      <w:pPr>
        <w:numPr>
          <w:ilvl w:val="0"/>
          <w:numId w:val="3"/>
        </w:numPr>
        <w:shd w:val="clear" w:color="auto" w:fill="FFFFFF"/>
        <w:spacing w:after="150"/>
        <w:jc w:val="both"/>
        <w:rPr>
          <w:rFonts w:eastAsia="Times New Roman" w:cs="Calibri"/>
          <w:lang w:eastAsia="es-ES"/>
        </w:rPr>
      </w:pPr>
      <w:r w:rsidRPr="00F41ABB">
        <w:rPr>
          <w:b/>
        </w:rPr>
        <w:t>Informe de evaluación</w:t>
      </w:r>
      <w:r w:rsidR="00F41ABB">
        <w:rPr>
          <w:b/>
        </w:rPr>
        <w:t>:</w:t>
      </w:r>
      <w:r>
        <w:t xml:space="preserve"> Documento que elabora la Comisión de Evaluación en el que se hace constar las competencias profesionales que posee la persona candidata y que serán acreditadas oficialmente, así como las oportunidades para completar su formación respecto de las competencias profesionales no acreditadas. </w:t>
      </w:r>
    </w:p>
    <w:p w:rsidR="00BC38D3" w:rsidRDefault="00BC38D3" w:rsidP="00AE501A">
      <w:pPr>
        <w:numPr>
          <w:ilvl w:val="0"/>
          <w:numId w:val="3"/>
        </w:numPr>
        <w:shd w:val="clear" w:color="auto" w:fill="FFFFFF"/>
        <w:spacing w:after="150"/>
        <w:jc w:val="both"/>
        <w:rPr>
          <w:rFonts w:eastAsia="Times New Roman" w:cs="Calibri"/>
          <w:lang w:eastAsia="es-ES"/>
        </w:rPr>
      </w:pPr>
      <w:r w:rsidRPr="00F41ABB">
        <w:rPr>
          <w:b/>
        </w:rPr>
        <w:t>Itinerario formativo</w:t>
      </w:r>
      <w:r w:rsidR="00F41ABB">
        <w:rPr>
          <w:b/>
        </w:rPr>
        <w:t>:</w:t>
      </w:r>
      <w:r>
        <w:t xml:space="preserve"> Formación que se recomienda realizar a la persona candidata para mejorar su perfil profesional como parte del Procedimiento.</w:t>
      </w:r>
    </w:p>
    <w:p w:rsidR="00696008" w:rsidRDefault="001D5CBB" w:rsidP="00AE501A">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 xml:space="preserve">Familia Profesional: </w:t>
      </w:r>
      <w:r w:rsidRPr="00696008">
        <w:rPr>
          <w:rFonts w:eastAsia="Times New Roman" w:cs="Calibri"/>
          <w:lang w:eastAsia="es-ES"/>
        </w:rPr>
        <w:t xml:space="preserve">Conjunto de cualificaciones en las que se estructura el Catálogo Nacional de Cualificaciones Profesionales, atendiendo a criterios de afinidad </w:t>
      </w:r>
      <w:r w:rsidR="00696008">
        <w:rPr>
          <w:rFonts w:eastAsia="Times New Roman" w:cs="Calibri"/>
          <w:lang w:eastAsia="es-ES"/>
        </w:rPr>
        <w:t>de la competencia profesional.</w:t>
      </w:r>
    </w:p>
    <w:p w:rsidR="00696008" w:rsidRDefault="001D5CBB" w:rsidP="00AE501A">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 xml:space="preserve">Módulo formativo: </w:t>
      </w:r>
      <w:r w:rsidRPr="00696008">
        <w:rPr>
          <w:rFonts w:eastAsia="Times New Roman" w:cs="Calibri"/>
          <w:lang w:eastAsia="es-ES"/>
        </w:rPr>
        <w:t>El bloque coherente de formación asociado a cada una de las unidades de competencia que configuran la cualificación.</w:t>
      </w:r>
    </w:p>
    <w:p w:rsidR="00F41ABB" w:rsidRPr="00F41ABB" w:rsidRDefault="00F41ABB" w:rsidP="00F41ABB">
      <w:pPr>
        <w:numPr>
          <w:ilvl w:val="0"/>
          <w:numId w:val="3"/>
        </w:numPr>
        <w:shd w:val="clear" w:color="auto" w:fill="FFFFFF"/>
        <w:spacing w:after="150"/>
        <w:jc w:val="both"/>
        <w:rPr>
          <w:rFonts w:eastAsia="Times New Roman" w:cs="Calibri"/>
          <w:lang w:eastAsia="es-ES"/>
        </w:rPr>
      </w:pPr>
      <w:r w:rsidRPr="00F41ABB">
        <w:rPr>
          <w:b/>
        </w:rPr>
        <w:t>Nivel de la Unidad de Competencia</w:t>
      </w:r>
      <w:r>
        <w:rPr>
          <w:b/>
        </w:rPr>
        <w:t>:</w:t>
      </w:r>
      <w:r>
        <w:t xml:space="preserve"> Diferentes grados en los que se clasifican las Unidades de Competencia en función de distintos criterios de complejidad en el desempeño profesional. En el ámbito de la Formación Profesional, los niveles son 1, 2 y 3. </w:t>
      </w:r>
    </w:p>
    <w:p w:rsidR="00F41ABB" w:rsidRPr="00F41ABB" w:rsidRDefault="00F41ABB" w:rsidP="00F41ABB">
      <w:pPr>
        <w:numPr>
          <w:ilvl w:val="0"/>
          <w:numId w:val="3"/>
        </w:numPr>
        <w:shd w:val="clear" w:color="auto" w:fill="FFFFFF"/>
        <w:spacing w:after="150"/>
        <w:jc w:val="both"/>
        <w:rPr>
          <w:rFonts w:eastAsia="Times New Roman" w:cs="Calibri"/>
          <w:lang w:eastAsia="es-ES"/>
        </w:rPr>
      </w:pPr>
      <w:r w:rsidRPr="00F41ABB">
        <w:rPr>
          <w:b/>
        </w:rPr>
        <w:t>Observación en el puesto de trabajo</w:t>
      </w:r>
      <w:r>
        <w:rPr>
          <w:b/>
        </w:rPr>
        <w:t>:</w:t>
      </w:r>
      <w:r>
        <w:t xml:space="preserve"> Método de evaluación consistente en la observación de la persona candidata en su lugar de trabajo, donde se registra su desempeño en un escenario real. </w:t>
      </w:r>
    </w:p>
    <w:p w:rsidR="00F41ABB" w:rsidRPr="00F41ABB" w:rsidRDefault="00F41ABB" w:rsidP="00F41ABB">
      <w:pPr>
        <w:numPr>
          <w:ilvl w:val="0"/>
          <w:numId w:val="3"/>
        </w:numPr>
        <w:shd w:val="clear" w:color="auto" w:fill="FFFFFF"/>
        <w:spacing w:after="150"/>
        <w:jc w:val="both"/>
        <w:rPr>
          <w:rFonts w:eastAsia="Times New Roman" w:cs="Calibri"/>
          <w:lang w:eastAsia="es-ES"/>
        </w:rPr>
      </w:pPr>
      <w:r w:rsidRPr="00F41ABB">
        <w:rPr>
          <w:b/>
        </w:rPr>
        <w:t>Perfil profesional</w:t>
      </w:r>
      <w:r>
        <w:rPr>
          <w:b/>
        </w:rPr>
        <w:t>:</w:t>
      </w:r>
      <w:r>
        <w:t xml:space="preserve"> Conjunto de competencias para el desempeño de varios puestos de trabajo que presentan afinidad y que configuran una ocupación. </w:t>
      </w:r>
    </w:p>
    <w:p w:rsidR="00F41ABB" w:rsidRPr="00F41ABB" w:rsidRDefault="00F41ABB" w:rsidP="00F41ABB">
      <w:pPr>
        <w:numPr>
          <w:ilvl w:val="0"/>
          <w:numId w:val="3"/>
        </w:numPr>
        <w:shd w:val="clear" w:color="auto" w:fill="FFFFFF"/>
        <w:spacing w:after="150"/>
        <w:jc w:val="both"/>
        <w:rPr>
          <w:rFonts w:eastAsia="Times New Roman" w:cs="Calibri"/>
          <w:lang w:eastAsia="es-ES"/>
        </w:rPr>
      </w:pPr>
      <w:r w:rsidRPr="00F41ABB">
        <w:rPr>
          <w:b/>
        </w:rPr>
        <w:t>Pruebas profesionales de competencia</w:t>
      </w:r>
      <w:r>
        <w:rPr>
          <w:b/>
        </w:rPr>
        <w:t>:</w:t>
      </w:r>
      <w:r>
        <w:t xml:space="preserve"> Método de evaluación consistente en pruebas teórico-prácticas diseñadas para evaluar las tres dimensiones de la competencia profesional: saber, saber hacer y saber estar. </w:t>
      </w:r>
    </w:p>
    <w:p w:rsidR="00F41ABB" w:rsidRPr="00F41ABB" w:rsidRDefault="00F41ABB" w:rsidP="00F41ABB">
      <w:pPr>
        <w:numPr>
          <w:ilvl w:val="0"/>
          <w:numId w:val="3"/>
        </w:numPr>
        <w:shd w:val="clear" w:color="auto" w:fill="FFFFFF"/>
        <w:spacing w:after="150"/>
        <w:jc w:val="both"/>
        <w:rPr>
          <w:rFonts w:eastAsia="Times New Roman" w:cs="Calibri"/>
          <w:lang w:eastAsia="es-ES"/>
        </w:rPr>
      </w:pPr>
      <w:r w:rsidRPr="00F41ABB">
        <w:rPr>
          <w:b/>
        </w:rPr>
        <w:t>Simulación de situaciones profesionales</w:t>
      </w:r>
      <w:r>
        <w:rPr>
          <w:b/>
        </w:rPr>
        <w:t>:</w:t>
      </w:r>
      <w:r>
        <w:t xml:space="preserve"> Método de evaluación consistente en un ejercicio profesional en el que se diseñan y reconstruyen las variables principales cuyo dominio por parte de un candidato se pretende verificar. </w:t>
      </w:r>
    </w:p>
    <w:p w:rsidR="00F41ABB" w:rsidRPr="00F41ABB" w:rsidRDefault="00F41ABB" w:rsidP="00F41ABB">
      <w:pPr>
        <w:numPr>
          <w:ilvl w:val="0"/>
          <w:numId w:val="3"/>
        </w:numPr>
        <w:shd w:val="clear" w:color="auto" w:fill="FFFFFF"/>
        <w:spacing w:after="150"/>
        <w:jc w:val="both"/>
        <w:rPr>
          <w:rFonts w:eastAsia="Times New Roman" w:cs="Calibri"/>
          <w:lang w:eastAsia="es-ES"/>
        </w:rPr>
      </w:pPr>
      <w:r w:rsidRPr="00F41ABB">
        <w:rPr>
          <w:b/>
        </w:rPr>
        <w:lastRenderedPageBreak/>
        <w:t>Título de Formación Profesional</w:t>
      </w:r>
      <w:r>
        <w:rPr>
          <w:b/>
        </w:rPr>
        <w:t>:</w:t>
      </w:r>
      <w:r>
        <w:t xml:space="preserve"> Conjunto de enseñanzas post-obligatorias del sistema educativo que capacitan para el desempeño cualificado de una profesión, que permiten acreditar las cualificaciones y se clasifican en Técnico y Técnico Superior.</w:t>
      </w:r>
    </w:p>
    <w:p w:rsidR="00696008" w:rsidRPr="00F41ABB" w:rsidRDefault="001D5CBB" w:rsidP="00F41ABB">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 xml:space="preserve">Realizaciones profesionales: </w:t>
      </w:r>
      <w:r w:rsidRPr="00696008">
        <w:rPr>
          <w:rFonts w:eastAsia="Times New Roman" w:cs="Calibri"/>
          <w:lang w:eastAsia="es-ES"/>
        </w:rPr>
        <w:t>Elementos de la competencia que establecen el comportamiento esperado de la persona, en forma de consecuencias o resultados de las actividades que realiza.</w:t>
      </w:r>
    </w:p>
    <w:p w:rsidR="00696008" w:rsidRPr="00554B39" w:rsidRDefault="001D5CBB" w:rsidP="00F41ABB">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 xml:space="preserve">Sistema Nacional de Cualificaciones y Formación Profesional: </w:t>
      </w:r>
      <w:r w:rsidRPr="00696008">
        <w:rPr>
          <w:rFonts w:eastAsia="Times New Roman" w:cs="Calibri"/>
          <w:lang w:eastAsia="es-ES"/>
        </w:rPr>
        <w:t>Conjunto de instrumentos y acciones necesarios para promover y desarrollar la integración de las ofertas de la formación profesional, a través del Catálogo Nacional de Cualificaciones Profesionales, así como la evaluación y acreditación de las correspondientes competencias profesionales, de forma que se favorezca el desarrollo profesional y social de las personas y se cub</w:t>
      </w:r>
      <w:r w:rsidR="00AE501A" w:rsidRPr="00696008">
        <w:rPr>
          <w:rFonts w:eastAsia="Times New Roman" w:cs="Calibri"/>
          <w:lang w:eastAsia="es-ES"/>
        </w:rPr>
        <w:t xml:space="preserve">ran las necesidades del sistema </w:t>
      </w:r>
      <w:r w:rsidRPr="00696008">
        <w:rPr>
          <w:rFonts w:eastAsia="Times New Roman" w:cs="Calibri"/>
          <w:lang w:eastAsia="es-ES"/>
        </w:rPr>
        <w:t>productivo.</w:t>
      </w:r>
    </w:p>
    <w:p w:rsidR="001D5CBB" w:rsidRPr="00696008" w:rsidRDefault="001D5CBB" w:rsidP="00696008">
      <w:pPr>
        <w:numPr>
          <w:ilvl w:val="0"/>
          <w:numId w:val="3"/>
        </w:numPr>
        <w:shd w:val="clear" w:color="auto" w:fill="FFFFFF"/>
        <w:spacing w:after="150"/>
        <w:jc w:val="both"/>
        <w:rPr>
          <w:rFonts w:eastAsia="Times New Roman" w:cs="Calibri"/>
          <w:lang w:eastAsia="es-ES"/>
        </w:rPr>
      </w:pPr>
      <w:r w:rsidRPr="00696008">
        <w:rPr>
          <w:rFonts w:eastAsia="Times New Roman" w:cs="Calibri"/>
          <w:b/>
          <w:bCs/>
          <w:lang w:eastAsia="es-ES"/>
        </w:rPr>
        <w:t xml:space="preserve">Unidad de competencia: </w:t>
      </w:r>
      <w:r w:rsidRPr="00696008">
        <w:rPr>
          <w:rFonts w:eastAsia="Times New Roman" w:cs="Calibri"/>
          <w:lang w:eastAsia="es-ES"/>
        </w:rPr>
        <w:t>El agregado mínimo de competencias profesionales, susceptible de reconocimiento y acreditación parcial, a los efectos previstos en el artículo 8.3 de la Ley Orgánica 5/2002, de 19 de junio, de las Cualificaciones y de la Formación Profesional.</w:t>
      </w:r>
    </w:p>
    <w:p w:rsidR="001D5CBB" w:rsidRPr="00DB6B3E" w:rsidRDefault="001D5CBB" w:rsidP="001D5CBB">
      <w:pPr>
        <w:jc w:val="both"/>
        <w:rPr>
          <w:rFonts w:cs="Calibri"/>
        </w:rPr>
      </w:pPr>
    </w:p>
    <w:sectPr w:rsidR="001D5CBB" w:rsidRPr="00DB6B3E">
      <w:headerReference w:type="default" r:id="rId9"/>
      <w:foot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479B" w:rsidRDefault="00FA479B" w:rsidP="00DB6B3E">
      <w:r>
        <w:separator/>
      </w:r>
    </w:p>
  </w:endnote>
  <w:endnote w:type="continuationSeparator" w:id="0">
    <w:p w:rsidR="00FA479B" w:rsidRDefault="00FA479B" w:rsidP="00DB6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479B" w:rsidRPr="00DB6B3E" w:rsidRDefault="00FD6161" w:rsidP="00DB6B3E">
    <w:pPr>
      <w:pStyle w:val="Piedepgina"/>
      <w:pBdr>
        <w:top w:val="thinThickSmallGap" w:sz="24" w:space="1" w:color="622423"/>
      </w:pBdr>
      <w:tabs>
        <w:tab w:val="clear" w:pos="4252"/>
      </w:tabs>
      <w:rPr>
        <w:rFonts w:ascii="Cambria" w:eastAsia="Times New Roman" w:hAnsi="Cambria"/>
      </w:rPr>
    </w:pPr>
    <w:r>
      <w:rPr>
        <w:rFonts w:ascii="Cambria" w:eastAsia="Times New Roman" w:hAnsi="Cambria"/>
      </w:rPr>
      <w:t>RD1224_09</w:t>
    </w:r>
    <w:r w:rsidR="006156EF">
      <w:rPr>
        <w:rFonts w:ascii="Cambria" w:eastAsia="Times New Roman" w:hAnsi="Cambria"/>
      </w:rPr>
      <w:t>_20160116</w:t>
    </w:r>
    <w:r w:rsidR="00FA479B" w:rsidRPr="00DB6B3E">
      <w:rPr>
        <w:rFonts w:ascii="Cambria" w:eastAsia="Times New Roman" w:hAnsi="Cambria"/>
      </w:rPr>
      <w:tab/>
      <w:t xml:space="preserve">Página </w:t>
    </w:r>
    <w:r w:rsidR="00FA479B" w:rsidRPr="00DB6B3E">
      <w:rPr>
        <w:rFonts w:eastAsia="Times New Roman"/>
      </w:rPr>
      <w:fldChar w:fldCharType="begin"/>
    </w:r>
    <w:r w:rsidR="00FA479B">
      <w:instrText>PAGE   \* MERGEFORMAT</w:instrText>
    </w:r>
    <w:r w:rsidR="00FA479B" w:rsidRPr="00DB6B3E">
      <w:rPr>
        <w:rFonts w:eastAsia="Times New Roman"/>
      </w:rPr>
      <w:fldChar w:fldCharType="separate"/>
    </w:r>
    <w:r w:rsidR="006156EF" w:rsidRPr="006156EF">
      <w:rPr>
        <w:rFonts w:ascii="Cambria" w:eastAsia="Times New Roman" w:hAnsi="Cambria"/>
        <w:noProof/>
      </w:rPr>
      <w:t>5</w:t>
    </w:r>
    <w:r w:rsidR="00FA479B" w:rsidRPr="00DB6B3E">
      <w:rPr>
        <w:rFonts w:ascii="Cambria" w:eastAsia="Times New Roman" w:hAnsi="Cambria"/>
      </w:rPr>
      <w:fldChar w:fldCharType="end"/>
    </w:r>
  </w:p>
  <w:p w:rsidR="00FA479B" w:rsidRDefault="00FA479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479B" w:rsidRDefault="00FA479B" w:rsidP="00DB6B3E">
      <w:r>
        <w:separator/>
      </w:r>
    </w:p>
  </w:footnote>
  <w:footnote w:type="continuationSeparator" w:id="0">
    <w:p w:rsidR="00FA479B" w:rsidRDefault="00FA479B" w:rsidP="00DB6B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774" w:type="dxa"/>
      <w:tblInd w:w="-601" w:type="dxa"/>
      <w:tblBorders>
        <w:insideH w:val="single" w:sz="4" w:space="0" w:color="auto"/>
      </w:tblBorders>
      <w:tblLook w:val="04A0" w:firstRow="1" w:lastRow="0" w:firstColumn="1" w:lastColumn="0" w:noHBand="0" w:noVBand="1"/>
    </w:tblPr>
    <w:tblGrid>
      <w:gridCol w:w="4893"/>
      <w:gridCol w:w="2940"/>
      <w:gridCol w:w="2941"/>
    </w:tblGrid>
    <w:tr w:rsidR="00FA479B" w:rsidTr="001A31AF">
      <w:trPr>
        <w:trHeight w:val="850"/>
      </w:trPr>
      <w:tc>
        <w:tcPr>
          <w:tcW w:w="3591" w:type="dxa"/>
        </w:tcPr>
        <w:p w:rsidR="00FA479B" w:rsidRDefault="00FA479B" w:rsidP="00744639">
          <w:pPr>
            <w:pStyle w:val="Encabezado"/>
            <w:tabs>
              <w:tab w:val="clear" w:pos="4252"/>
              <w:tab w:val="clear" w:pos="8504"/>
              <w:tab w:val="center" w:pos="4677"/>
              <w:tab w:val="right" w:pos="9354"/>
            </w:tabs>
          </w:pPr>
          <w:r>
            <w:rPr>
              <w:noProof/>
              <w:lang w:eastAsia="es-ES"/>
            </w:rPr>
            <w:drawing>
              <wp:anchor distT="0" distB="0" distL="114300" distR="114300" simplePos="0" relativeHeight="251658240" behindDoc="0" locked="0" layoutInCell="1" allowOverlap="1" wp14:anchorId="11645D81" wp14:editId="5263CD38">
                <wp:simplePos x="0" y="0"/>
                <wp:positionH relativeFrom="column">
                  <wp:posOffset>1441450</wp:posOffset>
                </wp:positionH>
                <wp:positionV relativeFrom="paragraph">
                  <wp:posOffset>-48260</wp:posOffset>
                </wp:positionV>
                <wp:extent cx="1477010" cy="371475"/>
                <wp:effectExtent l="19050" t="0" r="8890" b="0"/>
                <wp:wrapNone/>
                <wp:docPr id="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1477010" cy="371475"/>
                        </a:xfrm>
                        <a:prstGeom prst="rect">
                          <a:avLst/>
                        </a:prstGeom>
                        <a:noFill/>
                        <a:ln w="9525">
                          <a:noFill/>
                          <a:miter lim="800000"/>
                          <a:headEnd/>
                          <a:tailEnd/>
                        </a:ln>
                      </pic:spPr>
                    </pic:pic>
                  </a:graphicData>
                </a:graphic>
              </wp:anchor>
            </w:drawing>
          </w:r>
          <w:r>
            <w:rPr>
              <w:noProof/>
              <w:lang w:eastAsia="es-ES"/>
            </w:rPr>
            <w:drawing>
              <wp:anchor distT="0" distB="0" distL="114300" distR="114300" simplePos="0" relativeHeight="251657216" behindDoc="0" locked="0" layoutInCell="1" allowOverlap="1" wp14:anchorId="59C4AF64" wp14:editId="69896532">
                <wp:simplePos x="0" y="0"/>
                <wp:positionH relativeFrom="column">
                  <wp:posOffset>3152140</wp:posOffset>
                </wp:positionH>
                <wp:positionV relativeFrom="paragraph">
                  <wp:posOffset>-38735</wp:posOffset>
                </wp:positionV>
                <wp:extent cx="1437005" cy="361950"/>
                <wp:effectExtent l="19050" t="0" r="0" b="0"/>
                <wp:wrapNone/>
                <wp:docPr id="5"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2"/>
                        <a:srcRect/>
                        <a:stretch>
                          <a:fillRect/>
                        </a:stretch>
                      </pic:blipFill>
                      <pic:spPr bwMode="auto">
                        <a:xfrm>
                          <a:off x="0" y="0"/>
                          <a:ext cx="1437005" cy="361950"/>
                        </a:xfrm>
                        <a:prstGeom prst="rect">
                          <a:avLst/>
                        </a:prstGeom>
                        <a:noFill/>
                        <a:ln w="9525">
                          <a:noFill/>
                          <a:miter lim="800000"/>
                          <a:headEnd/>
                          <a:tailEnd/>
                        </a:ln>
                      </pic:spPr>
                    </pic:pic>
                  </a:graphicData>
                </a:graphic>
              </wp:anchor>
            </w:drawing>
          </w:r>
          <w:r>
            <w:rPr>
              <w:noProof/>
              <w:lang w:eastAsia="es-ES"/>
            </w:rPr>
            <w:drawing>
              <wp:anchor distT="0" distB="0" distL="114300" distR="114300" simplePos="0" relativeHeight="251656192" behindDoc="0" locked="0" layoutInCell="1" allowOverlap="1" wp14:anchorId="56FC0F25" wp14:editId="1EDDF26F">
                <wp:simplePos x="0" y="0"/>
                <wp:positionH relativeFrom="column">
                  <wp:posOffset>5023485</wp:posOffset>
                </wp:positionH>
                <wp:positionV relativeFrom="paragraph">
                  <wp:posOffset>-38735</wp:posOffset>
                </wp:positionV>
                <wp:extent cx="904240" cy="431800"/>
                <wp:effectExtent l="19050" t="0" r="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3"/>
                        <a:srcRect/>
                        <a:stretch>
                          <a:fillRect/>
                        </a:stretch>
                      </pic:blipFill>
                      <pic:spPr bwMode="auto">
                        <a:xfrm>
                          <a:off x="0" y="0"/>
                          <a:ext cx="904240" cy="431800"/>
                        </a:xfrm>
                        <a:prstGeom prst="rect">
                          <a:avLst/>
                        </a:prstGeom>
                        <a:noFill/>
                        <a:ln w="9525">
                          <a:noFill/>
                          <a:miter lim="800000"/>
                          <a:headEnd/>
                          <a:tailEnd/>
                        </a:ln>
                      </pic:spPr>
                    </pic:pic>
                  </a:graphicData>
                </a:graphic>
              </wp:anchor>
            </w:drawing>
          </w:r>
          <w:r w:rsidR="00FD6161">
            <w:rPr>
              <w:noProof/>
              <w:lang w:eastAsia="es-ES"/>
            </w:rPr>
            <w:drawing>
              <wp:inline distT="0" distB="0" distL="0" distR="0" wp14:anchorId="52705DCF">
                <wp:extent cx="1094400" cy="396000"/>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02067" cy="398774"/>
                        </a:xfrm>
                        <a:prstGeom prst="rect">
                          <a:avLst/>
                        </a:prstGeom>
                        <a:noFill/>
                      </pic:spPr>
                    </pic:pic>
                  </a:graphicData>
                </a:graphic>
              </wp:inline>
            </w:drawing>
          </w:r>
          <w:r>
            <w:tab/>
          </w:r>
          <w:r>
            <w:rPr>
              <w:noProof/>
            </w:rPr>
            <w:tab/>
          </w:r>
        </w:p>
        <w:p w:rsidR="00FA479B" w:rsidRDefault="00FA479B" w:rsidP="001A31AF">
          <w:pPr>
            <w:pStyle w:val="Encabezado"/>
            <w:jc w:val="right"/>
            <w:rPr>
              <w:noProof/>
              <w:lang w:eastAsia="es-ES"/>
            </w:rPr>
          </w:pPr>
        </w:p>
      </w:tc>
      <w:tc>
        <w:tcPr>
          <w:tcW w:w="3591" w:type="dxa"/>
        </w:tcPr>
        <w:p w:rsidR="00FA479B" w:rsidRDefault="00FA479B" w:rsidP="001A31AF">
          <w:pPr>
            <w:pStyle w:val="Encabezado"/>
            <w:jc w:val="center"/>
            <w:rPr>
              <w:noProof/>
              <w:lang w:eastAsia="es-ES"/>
            </w:rPr>
          </w:pPr>
        </w:p>
      </w:tc>
      <w:tc>
        <w:tcPr>
          <w:tcW w:w="3592" w:type="dxa"/>
        </w:tcPr>
        <w:p w:rsidR="00FA479B" w:rsidRDefault="00FA479B" w:rsidP="001A31AF">
          <w:pPr>
            <w:pStyle w:val="Encabezado"/>
            <w:jc w:val="center"/>
            <w:rPr>
              <w:noProof/>
              <w:lang w:eastAsia="es-ES"/>
            </w:rPr>
          </w:pPr>
        </w:p>
      </w:tc>
    </w:tr>
  </w:tbl>
  <w:p w:rsidR="00FA479B" w:rsidRDefault="00FA479B" w:rsidP="00DB6B3E">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35pt;height:11.35pt" o:bullet="t">
        <v:imagedata r:id="rId1" o:title="mso42ED"/>
      </v:shape>
    </w:pict>
  </w:numPicBullet>
  <w:abstractNum w:abstractNumId="0">
    <w:nsid w:val="0C1E7ED3"/>
    <w:multiLevelType w:val="hybridMultilevel"/>
    <w:tmpl w:val="6A2CAFF4"/>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39913C76"/>
    <w:multiLevelType w:val="hybridMultilevel"/>
    <w:tmpl w:val="1EDEB320"/>
    <w:lvl w:ilvl="0" w:tplc="725E1D2E">
      <w:start w:val="25"/>
      <w:numFmt w:val="bullet"/>
      <w:lvlText w:val="•"/>
      <w:lvlJc w:val="left"/>
      <w:pPr>
        <w:ind w:left="927" w:hanging="360"/>
      </w:pPr>
      <w:rPr>
        <w:rFonts w:ascii="Calibri" w:eastAsia="Calibri" w:hAnsi="Calibri" w:cs="Calibri"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74A35891"/>
    <w:multiLevelType w:val="hybridMultilevel"/>
    <w:tmpl w:val="E3AE14A0"/>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5CBB"/>
    <w:rsid w:val="0003445F"/>
    <w:rsid w:val="001A31AF"/>
    <w:rsid w:val="001D5CBB"/>
    <w:rsid w:val="004250DA"/>
    <w:rsid w:val="00554B39"/>
    <w:rsid w:val="00584340"/>
    <w:rsid w:val="006156EF"/>
    <w:rsid w:val="00696008"/>
    <w:rsid w:val="006A4B11"/>
    <w:rsid w:val="00744639"/>
    <w:rsid w:val="00AE501A"/>
    <w:rsid w:val="00B53877"/>
    <w:rsid w:val="00BC38D3"/>
    <w:rsid w:val="00DB6B3E"/>
    <w:rsid w:val="00E86AE0"/>
    <w:rsid w:val="00F41ABB"/>
    <w:rsid w:val="00F84863"/>
    <w:rsid w:val="00FA479B"/>
    <w:rsid w:val="00FD616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2"/>
      <w:szCs w:val="22"/>
      <w:lang w:eastAsia="en-US"/>
    </w:rPr>
  </w:style>
  <w:style w:type="paragraph" w:styleId="Ttulo3">
    <w:name w:val="heading 3"/>
    <w:basedOn w:val="Normal"/>
    <w:link w:val="Ttulo3Car"/>
    <w:uiPriority w:val="9"/>
    <w:qFormat/>
    <w:rsid w:val="00FD6161"/>
    <w:pPr>
      <w:spacing w:before="100" w:beforeAutospacing="1" w:after="100" w:afterAutospacing="1"/>
      <w:outlineLvl w:val="2"/>
    </w:pPr>
    <w:rPr>
      <w:rFonts w:ascii="Times New Roman" w:eastAsia="Times New Roman" w:hAnsi="Times New Roman"/>
      <w:b/>
      <w:bCs/>
      <w:sz w:val="27"/>
      <w:szCs w:val="27"/>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uiPriority w:val="22"/>
    <w:qFormat/>
    <w:rsid w:val="001D5CBB"/>
    <w:rPr>
      <w:b/>
      <w:bCs/>
    </w:rPr>
  </w:style>
  <w:style w:type="character" w:styleId="Hipervnculo">
    <w:name w:val="Hyperlink"/>
    <w:rsid w:val="001D5CBB"/>
    <w:rPr>
      <w:color w:val="0000FF"/>
      <w:u w:val="single"/>
    </w:rPr>
  </w:style>
  <w:style w:type="paragraph" w:styleId="Prrafodelista">
    <w:name w:val="List Paragraph"/>
    <w:basedOn w:val="Normal"/>
    <w:uiPriority w:val="34"/>
    <w:qFormat/>
    <w:rsid w:val="001D5CBB"/>
    <w:pPr>
      <w:ind w:left="720"/>
      <w:contextualSpacing/>
    </w:pPr>
    <w:rPr>
      <w:rFonts w:ascii="Times New Roman" w:eastAsia="Times New Roman" w:hAnsi="Times New Roman"/>
      <w:sz w:val="24"/>
      <w:szCs w:val="24"/>
      <w:lang w:eastAsia="es-ES"/>
    </w:rPr>
  </w:style>
  <w:style w:type="table" w:styleId="Tablaconcuadrcula">
    <w:name w:val="Table Grid"/>
    <w:basedOn w:val="Tablanormal"/>
    <w:uiPriority w:val="59"/>
    <w:rsid w:val="001D5CBB"/>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DB6B3E"/>
    <w:pPr>
      <w:tabs>
        <w:tab w:val="center" w:pos="4252"/>
        <w:tab w:val="right" w:pos="8504"/>
      </w:tabs>
    </w:pPr>
  </w:style>
  <w:style w:type="character" w:customStyle="1" w:styleId="EncabezadoCar">
    <w:name w:val="Encabezado Car"/>
    <w:link w:val="Encabezado"/>
    <w:uiPriority w:val="99"/>
    <w:rsid w:val="00DB6B3E"/>
    <w:rPr>
      <w:sz w:val="22"/>
      <w:szCs w:val="22"/>
      <w:lang w:eastAsia="en-US"/>
    </w:rPr>
  </w:style>
  <w:style w:type="paragraph" w:styleId="Piedepgina">
    <w:name w:val="footer"/>
    <w:basedOn w:val="Normal"/>
    <w:link w:val="PiedepginaCar"/>
    <w:uiPriority w:val="99"/>
    <w:unhideWhenUsed/>
    <w:rsid w:val="00DB6B3E"/>
    <w:pPr>
      <w:tabs>
        <w:tab w:val="center" w:pos="4252"/>
        <w:tab w:val="right" w:pos="8504"/>
      </w:tabs>
    </w:pPr>
  </w:style>
  <w:style w:type="character" w:customStyle="1" w:styleId="PiedepginaCar">
    <w:name w:val="Pie de página Car"/>
    <w:link w:val="Piedepgina"/>
    <w:uiPriority w:val="99"/>
    <w:rsid w:val="00DB6B3E"/>
    <w:rPr>
      <w:sz w:val="22"/>
      <w:szCs w:val="22"/>
      <w:lang w:eastAsia="en-US"/>
    </w:rPr>
  </w:style>
  <w:style w:type="paragraph" w:styleId="Textodeglobo">
    <w:name w:val="Balloon Text"/>
    <w:basedOn w:val="Normal"/>
    <w:link w:val="TextodegloboCar"/>
    <w:uiPriority w:val="99"/>
    <w:semiHidden/>
    <w:unhideWhenUsed/>
    <w:rsid w:val="00DB6B3E"/>
    <w:rPr>
      <w:rFonts w:ascii="Tahoma" w:hAnsi="Tahoma" w:cs="Tahoma"/>
      <w:sz w:val="16"/>
      <w:szCs w:val="16"/>
    </w:rPr>
  </w:style>
  <w:style w:type="character" w:customStyle="1" w:styleId="TextodegloboCar">
    <w:name w:val="Texto de globo Car"/>
    <w:link w:val="Textodeglobo"/>
    <w:uiPriority w:val="99"/>
    <w:semiHidden/>
    <w:rsid w:val="00DB6B3E"/>
    <w:rPr>
      <w:rFonts w:ascii="Tahoma" w:hAnsi="Tahoma" w:cs="Tahoma"/>
      <w:sz w:val="16"/>
      <w:szCs w:val="16"/>
      <w:lang w:eastAsia="en-US"/>
    </w:rPr>
  </w:style>
  <w:style w:type="character" w:customStyle="1" w:styleId="Ttulo3Car">
    <w:name w:val="Título 3 Car"/>
    <w:basedOn w:val="Fuentedeprrafopredeter"/>
    <w:link w:val="Ttulo3"/>
    <w:uiPriority w:val="9"/>
    <w:rsid w:val="00FD6161"/>
    <w:rPr>
      <w:rFonts w:ascii="Times New Roman" w:eastAsia="Times New Roman" w:hAnsi="Times New Roman"/>
      <w:b/>
      <w:bCs/>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2"/>
      <w:szCs w:val="22"/>
      <w:lang w:eastAsia="en-US"/>
    </w:rPr>
  </w:style>
  <w:style w:type="paragraph" w:styleId="Ttulo3">
    <w:name w:val="heading 3"/>
    <w:basedOn w:val="Normal"/>
    <w:link w:val="Ttulo3Car"/>
    <w:uiPriority w:val="9"/>
    <w:qFormat/>
    <w:rsid w:val="00FD6161"/>
    <w:pPr>
      <w:spacing w:before="100" w:beforeAutospacing="1" w:after="100" w:afterAutospacing="1"/>
      <w:outlineLvl w:val="2"/>
    </w:pPr>
    <w:rPr>
      <w:rFonts w:ascii="Times New Roman" w:eastAsia="Times New Roman" w:hAnsi="Times New Roman"/>
      <w:b/>
      <w:bCs/>
      <w:sz w:val="27"/>
      <w:szCs w:val="27"/>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uiPriority w:val="22"/>
    <w:qFormat/>
    <w:rsid w:val="001D5CBB"/>
    <w:rPr>
      <w:b/>
      <w:bCs/>
    </w:rPr>
  </w:style>
  <w:style w:type="character" w:styleId="Hipervnculo">
    <w:name w:val="Hyperlink"/>
    <w:rsid w:val="001D5CBB"/>
    <w:rPr>
      <w:color w:val="0000FF"/>
      <w:u w:val="single"/>
    </w:rPr>
  </w:style>
  <w:style w:type="paragraph" w:styleId="Prrafodelista">
    <w:name w:val="List Paragraph"/>
    <w:basedOn w:val="Normal"/>
    <w:uiPriority w:val="34"/>
    <w:qFormat/>
    <w:rsid w:val="001D5CBB"/>
    <w:pPr>
      <w:ind w:left="720"/>
      <w:contextualSpacing/>
    </w:pPr>
    <w:rPr>
      <w:rFonts w:ascii="Times New Roman" w:eastAsia="Times New Roman" w:hAnsi="Times New Roman"/>
      <w:sz w:val="24"/>
      <w:szCs w:val="24"/>
      <w:lang w:eastAsia="es-ES"/>
    </w:rPr>
  </w:style>
  <w:style w:type="table" w:styleId="Tablaconcuadrcula">
    <w:name w:val="Table Grid"/>
    <w:basedOn w:val="Tablanormal"/>
    <w:uiPriority w:val="59"/>
    <w:rsid w:val="001D5CBB"/>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DB6B3E"/>
    <w:pPr>
      <w:tabs>
        <w:tab w:val="center" w:pos="4252"/>
        <w:tab w:val="right" w:pos="8504"/>
      </w:tabs>
    </w:pPr>
  </w:style>
  <w:style w:type="character" w:customStyle="1" w:styleId="EncabezadoCar">
    <w:name w:val="Encabezado Car"/>
    <w:link w:val="Encabezado"/>
    <w:uiPriority w:val="99"/>
    <w:rsid w:val="00DB6B3E"/>
    <w:rPr>
      <w:sz w:val="22"/>
      <w:szCs w:val="22"/>
      <w:lang w:eastAsia="en-US"/>
    </w:rPr>
  </w:style>
  <w:style w:type="paragraph" w:styleId="Piedepgina">
    <w:name w:val="footer"/>
    <w:basedOn w:val="Normal"/>
    <w:link w:val="PiedepginaCar"/>
    <w:uiPriority w:val="99"/>
    <w:unhideWhenUsed/>
    <w:rsid w:val="00DB6B3E"/>
    <w:pPr>
      <w:tabs>
        <w:tab w:val="center" w:pos="4252"/>
        <w:tab w:val="right" w:pos="8504"/>
      </w:tabs>
    </w:pPr>
  </w:style>
  <w:style w:type="character" w:customStyle="1" w:styleId="PiedepginaCar">
    <w:name w:val="Pie de página Car"/>
    <w:link w:val="Piedepgina"/>
    <w:uiPriority w:val="99"/>
    <w:rsid w:val="00DB6B3E"/>
    <w:rPr>
      <w:sz w:val="22"/>
      <w:szCs w:val="22"/>
      <w:lang w:eastAsia="en-US"/>
    </w:rPr>
  </w:style>
  <w:style w:type="paragraph" w:styleId="Textodeglobo">
    <w:name w:val="Balloon Text"/>
    <w:basedOn w:val="Normal"/>
    <w:link w:val="TextodegloboCar"/>
    <w:uiPriority w:val="99"/>
    <w:semiHidden/>
    <w:unhideWhenUsed/>
    <w:rsid w:val="00DB6B3E"/>
    <w:rPr>
      <w:rFonts w:ascii="Tahoma" w:hAnsi="Tahoma" w:cs="Tahoma"/>
      <w:sz w:val="16"/>
      <w:szCs w:val="16"/>
    </w:rPr>
  </w:style>
  <w:style w:type="character" w:customStyle="1" w:styleId="TextodegloboCar">
    <w:name w:val="Texto de globo Car"/>
    <w:link w:val="Textodeglobo"/>
    <w:uiPriority w:val="99"/>
    <w:semiHidden/>
    <w:rsid w:val="00DB6B3E"/>
    <w:rPr>
      <w:rFonts w:ascii="Tahoma" w:hAnsi="Tahoma" w:cs="Tahoma"/>
      <w:sz w:val="16"/>
      <w:szCs w:val="16"/>
      <w:lang w:eastAsia="en-US"/>
    </w:rPr>
  </w:style>
  <w:style w:type="character" w:customStyle="1" w:styleId="Ttulo3Car">
    <w:name w:val="Título 3 Car"/>
    <w:basedOn w:val="Fuentedeprrafopredeter"/>
    <w:link w:val="Ttulo3"/>
    <w:uiPriority w:val="9"/>
    <w:rsid w:val="00FD6161"/>
    <w:rPr>
      <w:rFonts w:ascii="Times New Roman" w:eastAsia="Times New Roman" w:hAnsi="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6446810">
      <w:bodyDiv w:val="1"/>
      <w:marLeft w:val="0"/>
      <w:marRight w:val="0"/>
      <w:marTop w:val="0"/>
      <w:marBottom w:val="0"/>
      <w:divBdr>
        <w:top w:val="none" w:sz="0" w:space="0" w:color="auto"/>
        <w:left w:val="none" w:sz="0" w:space="0" w:color="auto"/>
        <w:bottom w:val="none" w:sz="0" w:space="0" w:color="auto"/>
        <w:right w:val="none" w:sz="0" w:space="0" w:color="auto"/>
      </w:divBdr>
    </w:div>
    <w:div w:id="2027713460">
      <w:bodyDiv w:val="1"/>
      <w:marLeft w:val="0"/>
      <w:marRight w:val="0"/>
      <w:marTop w:val="0"/>
      <w:marBottom w:val="0"/>
      <w:divBdr>
        <w:top w:val="none" w:sz="0" w:space="0" w:color="auto"/>
        <w:left w:val="none" w:sz="0" w:space="0" w:color="auto"/>
        <w:bottom w:val="none" w:sz="0" w:space="0" w:color="auto"/>
        <w:right w:val="none" w:sz="0" w:space="0" w:color="auto"/>
      </w:divBdr>
      <w:divsChild>
        <w:div w:id="883174866">
          <w:marLeft w:val="0"/>
          <w:marRight w:val="0"/>
          <w:marTop w:val="100"/>
          <w:marBottom w:val="100"/>
          <w:divBdr>
            <w:top w:val="none" w:sz="0" w:space="0" w:color="auto"/>
            <w:left w:val="none" w:sz="0" w:space="0" w:color="auto"/>
            <w:bottom w:val="none" w:sz="0" w:space="0" w:color="auto"/>
            <w:right w:val="none" w:sz="0" w:space="0" w:color="auto"/>
          </w:divBdr>
          <w:divsChild>
            <w:div w:id="1185170728">
              <w:marLeft w:val="0"/>
              <w:marRight w:val="0"/>
              <w:marTop w:val="0"/>
              <w:marBottom w:val="0"/>
              <w:divBdr>
                <w:top w:val="none" w:sz="0" w:space="0" w:color="auto"/>
                <w:left w:val="none" w:sz="0" w:space="0" w:color="auto"/>
                <w:bottom w:val="none" w:sz="0" w:space="0" w:color="auto"/>
                <w:right w:val="none" w:sz="0" w:space="0" w:color="auto"/>
              </w:divBdr>
              <w:divsChild>
                <w:div w:id="642779519">
                  <w:marLeft w:val="0"/>
                  <w:marRight w:val="0"/>
                  <w:marTop w:val="0"/>
                  <w:marBottom w:val="0"/>
                  <w:divBdr>
                    <w:top w:val="none" w:sz="0" w:space="0" w:color="auto"/>
                    <w:left w:val="none" w:sz="0" w:space="0" w:color="auto"/>
                    <w:bottom w:val="none" w:sz="0" w:space="0" w:color="auto"/>
                    <w:right w:val="none" w:sz="0" w:space="0" w:color="auto"/>
                  </w:divBdr>
                  <w:divsChild>
                    <w:div w:id="1608270703">
                      <w:marLeft w:val="0"/>
                      <w:marRight w:val="0"/>
                      <w:marTop w:val="0"/>
                      <w:marBottom w:val="0"/>
                      <w:divBdr>
                        <w:top w:val="none" w:sz="0" w:space="0" w:color="auto"/>
                        <w:left w:val="none" w:sz="0" w:space="0" w:color="auto"/>
                        <w:bottom w:val="none" w:sz="0" w:space="0" w:color="auto"/>
                        <w:right w:val="none" w:sz="0" w:space="0" w:color="auto"/>
                      </w:divBdr>
                      <w:divsChild>
                        <w:div w:id="1490100219">
                          <w:marLeft w:val="75"/>
                          <w:marRight w:val="75"/>
                          <w:marTop w:val="75"/>
                          <w:marBottom w:val="150"/>
                          <w:divBdr>
                            <w:top w:val="single" w:sz="6" w:space="0" w:color="auto"/>
                            <w:left w:val="single" w:sz="6" w:space="0" w:color="auto"/>
                            <w:bottom w:val="single" w:sz="6" w:space="0" w:color="auto"/>
                            <w:right w:val="single" w:sz="6" w:space="0" w:color="auto"/>
                          </w:divBdr>
                          <w:divsChild>
                            <w:div w:id="71053161">
                              <w:marLeft w:val="0"/>
                              <w:marRight w:val="0"/>
                              <w:marTop w:val="0"/>
                              <w:marBottom w:val="0"/>
                              <w:divBdr>
                                <w:top w:val="none" w:sz="0" w:space="0" w:color="auto"/>
                                <w:left w:val="none" w:sz="0" w:space="0" w:color="auto"/>
                                <w:bottom w:val="none" w:sz="0" w:space="0" w:color="auto"/>
                                <w:right w:val="none" w:sz="0" w:space="0" w:color="auto"/>
                              </w:divBdr>
                              <w:divsChild>
                                <w:div w:id="1315059869">
                                  <w:marLeft w:val="0"/>
                                  <w:marRight w:val="0"/>
                                  <w:marTop w:val="0"/>
                                  <w:marBottom w:val="0"/>
                                  <w:divBdr>
                                    <w:top w:val="none" w:sz="0" w:space="0" w:color="auto"/>
                                    <w:left w:val="none" w:sz="0" w:space="0" w:color="auto"/>
                                    <w:bottom w:val="none" w:sz="0" w:space="0" w:color="auto"/>
                                    <w:right w:val="none" w:sz="0" w:space="0" w:color="auto"/>
                                  </w:divBdr>
                                  <w:divsChild>
                                    <w:div w:id="12323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emf"/><Relationship Id="rId1" Type="http://schemas.openxmlformats.org/officeDocument/2006/relationships/image" Target="media/image3.png"/><Relationship Id="rId4" Type="http://schemas.openxmlformats.org/officeDocument/2006/relationships/image" Target="media/image6.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1491</Words>
  <Characters>8205</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Comunidad de Madrid</Company>
  <LinksUpToDate>false</LinksUpToDate>
  <CharactersWithSpaces>9677</CharactersWithSpaces>
  <SharedDoc>false</SharedDoc>
  <HLinks>
    <vt:vector size="6" baseType="variant">
      <vt:variant>
        <vt:i4>3670063</vt:i4>
      </vt:variant>
      <vt:variant>
        <vt:i4>0</vt:i4>
      </vt:variant>
      <vt:variant>
        <vt:i4>0</vt:i4>
      </vt:variant>
      <vt:variant>
        <vt:i4>5</vt:i4>
      </vt:variant>
      <vt:variant>
        <vt:lpwstr>http://www.madrid.org/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ICM</dc:creator>
  <cp:keywords/>
  <dc:description/>
  <cp:lastModifiedBy>ICM</cp:lastModifiedBy>
  <cp:revision>2</cp:revision>
  <dcterms:created xsi:type="dcterms:W3CDTF">2017-01-16T07:23:00Z</dcterms:created>
  <dcterms:modified xsi:type="dcterms:W3CDTF">2017-01-16T07:23:00Z</dcterms:modified>
</cp:coreProperties>
</file>